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322" w:type="dxa"/>
        <w:shd w:val="clear" w:color="auto" w:fill="00B050"/>
        <w:tblLook w:val="04A0" w:firstRow="1" w:lastRow="0" w:firstColumn="1" w:lastColumn="0" w:noHBand="0" w:noVBand="1"/>
      </w:tblPr>
      <w:tblGrid>
        <w:gridCol w:w="9322"/>
      </w:tblGrid>
      <w:tr w:rsidR="00D46C36" w:rsidRPr="00415257" w:rsidTr="00C15E60">
        <w:trPr>
          <w:trHeight w:val="386"/>
        </w:trPr>
        <w:tc>
          <w:tcPr>
            <w:tcW w:w="9322" w:type="dxa"/>
            <w:shd w:val="clear" w:color="auto" w:fill="00B050"/>
          </w:tcPr>
          <w:p w:rsidR="00D46C36" w:rsidRPr="002649BA" w:rsidRDefault="00D46C36" w:rsidP="00C15E60">
            <w:pPr>
              <w:pStyle w:val="Titre2"/>
              <w:jc w:val="center"/>
              <w:outlineLvl w:val="1"/>
            </w:pPr>
            <w:r>
              <w:t>Réflexion et découverte</w:t>
            </w:r>
            <w:r w:rsidRPr="002649BA">
              <w:t xml:space="preserve"> 01</w:t>
            </w:r>
          </w:p>
          <w:p w:rsidR="005D2E29" w:rsidRDefault="00D46C36" w:rsidP="00C15E60">
            <w:pPr>
              <w:pStyle w:val="Titre2"/>
              <w:jc w:val="center"/>
              <w:outlineLvl w:val="1"/>
            </w:pPr>
            <w:r>
              <w:t>Identifier les types de charges supportés par l’entreprise</w:t>
            </w:r>
            <w:r w:rsidRPr="002649BA">
              <w:t xml:space="preserve"> </w:t>
            </w:r>
            <w:r w:rsidR="005D2E29">
              <w:t xml:space="preserve"> </w:t>
            </w:r>
          </w:p>
          <w:p w:rsidR="00D46C36" w:rsidRPr="00415257" w:rsidRDefault="006D0082" w:rsidP="00C15E60">
            <w:pPr>
              <w:pStyle w:val="Titre2"/>
              <w:jc w:val="center"/>
              <w:outlineLvl w:val="1"/>
            </w:pPr>
            <w:r>
              <w:t>Corrigé</w:t>
            </w:r>
          </w:p>
        </w:tc>
      </w:tr>
      <w:tr w:rsidR="00D46C36" w:rsidRPr="00A1499C" w:rsidTr="00C15E60">
        <w:trPr>
          <w:trHeight w:val="504"/>
        </w:trPr>
        <w:tc>
          <w:tcPr>
            <w:tcW w:w="9322" w:type="dxa"/>
            <w:shd w:val="clear" w:color="auto" w:fill="00B050"/>
            <w:vAlign w:val="center"/>
          </w:tcPr>
          <w:p w:rsidR="00D46C36" w:rsidRPr="00A1499C" w:rsidRDefault="00D46C36" w:rsidP="00C15E60">
            <w:r w:rsidRPr="00A1499C">
              <w:rPr>
                <w:b/>
              </w:rPr>
              <w:t>Durée</w:t>
            </w:r>
            <w:r>
              <w:t xml:space="preserve"> : 10</w:t>
            </w:r>
            <w:r w:rsidRPr="00A1499C">
              <w:t xml:space="preserve"> minutes</w:t>
            </w:r>
          </w:p>
        </w:tc>
      </w:tr>
    </w:tbl>
    <w:p w:rsidR="00D46C36" w:rsidRDefault="00D46C36" w:rsidP="00D46C36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</w:rPr>
      </w:pPr>
    </w:p>
    <w:p w:rsidR="00D46C36" w:rsidRPr="00177792" w:rsidRDefault="00D46C36" w:rsidP="00D46C36">
      <w:pPr>
        <w:pStyle w:val="Titre1"/>
        <w:jc w:val="center"/>
        <w:rPr>
          <w:rFonts w:ascii="Times New Roman" w:hAnsi="Times New Roman"/>
          <w:sz w:val="40"/>
          <w:szCs w:val="48"/>
        </w:rPr>
      </w:pPr>
      <w:r w:rsidRPr="00177792">
        <w:rPr>
          <w:sz w:val="24"/>
        </w:rPr>
        <w:t>Seuil de rentabilité et point mort : Définition et calcul</w:t>
      </w:r>
    </w:p>
    <w:p w:rsidR="00D46C36" w:rsidRPr="006C7102" w:rsidRDefault="00D46C36" w:rsidP="00D46C36">
      <w:pPr>
        <w:pStyle w:val="NormalWeb"/>
        <w:spacing w:before="0" w:beforeAutospacing="0" w:after="120" w:afterAutospacing="0"/>
        <w:jc w:val="center"/>
        <w:rPr>
          <w:rStyle w:val="lev"/>
          <w:rFonts w:eastAsiaTheme="majorEastAsia" w:cs="Arial"/>
          <w:sz w:val="20"/>
          <w:szCs w:val="20"/>
        </w:rPr>
      </w:pPr>
      <w:r w:rsidRPr="006C7102">
        <w:rPr>
          <w:rStyle w:val="lev"/>
          <w:rFonts w:eastAsiaTheme="majorEastAsia" w:cs="Arial"/>
          <w:sz w:val="20"/>
          <w:szCs w:val="20"/>
        </w:rPr>
        <w:t xml:space="preserve">Source : </w:t>
      </w:r>
      <w:r w:rsidRPr="006C7102">
        <w:rPr>
          <w:rFonts w:cs="Arial"/>
          <w:color w:val="000000"/>
          <w:sz w:val="20"/>
          <w:szCs w:val="20"/>
        </w:rPr>
        <w:t>http://www.petite-entreprise.net/</w:t>
      </w:r>
    </w:p>
    <w:p w:rsidR="00D46C36" w:rsidRPr="006C7102" w:rsidRDefault="00D46C36" w:rsidP="00D46C36">
      <w:pPr>
        <w:pStyle w:val="NormalWeb"/>
        <w:rPr>
          <w:rFonts w:cs="Arial"/>
          <w:szCs w:val="22"/>
        </w:rPr>
      </w:pPr>
      <w:r w:rsidRPr="006C7102">
        <w:rPr>
          <w:rStyle w:val="lev"/>
          <w:rFonts w:eastAsiaTheme="majorEastAsia" w:cs="Arial"/>
          <w:szCs w:val="22"/>
        </w:rPr>
        <w:t>Seuil de rentabilité</w:t>
      </w:r>
      <w:r w:rsidRPr="006C7102">
        <w:rPr>
          <w:rFonts w:cs="Arial"/>
          <w:szCs w:val="22"/>
        </w:rPr>
        <w:t xml:space="preserve"> et </w:t>
      </w:r>
      <w:r w:rsidRPr="006C7102">
        <w:rPr>
          <w:rStyle w:val="lev"/>
          <w:rFonts w:eastAsiaTheme="majorEastAsia" w:cs="Arial"/>
          <w:szCs w:val="22"/>
        </w:rPr>
        <w:t>point mort</w:t>
      </w:r>
      <w:r w:rsidRPr="006C7102">
        <w:rPr>
          <w:rFonts w:cs="Arial"/>
          <w:szCs w:val="22"/>
        </w:rPr>
        <w:t xml:space="preserve"> sont deux facettes d’un même concept. Petite-entreprise.net revient pour vous sur ces deux concepts.</w:t>
      </w:r>
    </w:p>
    <w:p w:rsidR="00D46C36" w:rsidRPr="006C7102" w:rsidRDefault="00D46C36" w:rsidP="00D46C36">
      <w:pPr>
        <w:pStyle w:val="NormalWeb"/>
        <w:rPr>
          <w:rFonts w:cs="Arial"/>
          <w:szCs w:val="22"/>
        </w:rPr>
      </w:pPr>
      <w:r w:rsidRPr="006C7102">
        <w:rPr>
          <w:rFonts w:cs="Arial"/>
          <w:szCs w:val="22"/>
        </w:rPr>
        <w:t>Le seuil de rentabilité et le point mort sont les deux facettes d'un même concept.</w:t>
      </w:r>
    </w:p>
    <w:p w:rsidR="00D46C36" w:rsidRPr="006C7102" w:rsidRDefault="00D46C36" w:rsidP="00D46C36">
      <w:pPr>
        <w:pStyle w:val="NormalWeb"/>
        <w:numPr>
          <w:ilvl w:val="0"/>
          <w:numId w:val="2"/>
        </w:numPr>
        <w:rPr>
          <w:rFonts w:cs="Arial"/>
          <w:szCs w:val="22"/>
        </w:rPr>
      </w:pPr>
      <w:proofErr w:type="gramStart"/>
      <w:r w:rsidRPr="006C7102">
        <w:rPr>
          <w:rStyle w:val="lev"/>
          <w:rFonts w:eastAsiaTheme="majorEastAsia" w:cs="Arial"/>
          <w:szCs w:val="22"/>
        </w:rPr>
        <w:t>le</w:t>
      </w:r>
      <w:proofErr w:type="gramEnd"/>
      <w:r w:rsidRPr="006C7102">
        <w:rPr>
          <w:rStyle w:val="lev"/>
          <w:rFonts w:eastAsiaTheme="majorEastAsia" w:cs="Arial"/>
          <w:szCs w:val="22"/>
        </w:rPr>
        <w:t xml:space="preserve"> seuil de rentabilité</w:t>
      </w:r>
      <w:r w:rsidRPr="006C7102">
        <w:rPr>
          <w:rFonts w:cs="Arial"/>
          <w:szCs w:val="22"/>
        </w:rPr>
        <w:t xml:space="preserve"> est le niveau d’activité (chiffre d’affaires) à partir duquel l’entr</w:t>
      </w:r>
      <w:r>
        <w:rPr>
          <w:rFonts w:cs="Arial"/>
          <w:szCs w:val="22"/>
        </w:rPr>
        <w:t>eprise commence à être rentable</w:t>
      </w:r>
      <w:r w:rsidRPr="006C7102">
        <w:rPr>
          <w:rFonts w:cs="Arial"/>
          <w:szCs w:val="22"/>
        </w:rPr>
        <w:t>.</w:t>
      </w:r>
    </w:p>
    <w:p w:rsidR="00D46C36" w:rsidRPr="006C7102" w:rsidRDefault="00D46C36" w:rsidP="00D46C36">
      <w:pPr>
        <w:pStyle w:val="NormalWeb"/>
        <w:numPr>
          <w:ilvl w:val="0"/>
          <w:numId w:val="2"/>
        </w:numPr>
        <w:rPr>
          <w:rFonts w:cs="Arial"/>
          <w:szCs w:val="22"/>
        </w:rPr>
      </w:pPr>
      <w:r w:rsidRPr="006C7102">
        <w:rPr>
          <w:rStyle w:val="lev"/>
          <w:rFonts w:eastAsiaTheme="majorEastAsia" w:cs="Arial"/>
          <w:szCs w:val="22"/>
        </w:rPr>
        <w:t>Le point mort</w:t>
      </w:r>
      <w:r w:rsidRPr="006C7102">
        <w:rPr>
          <w:rFonts w:cs="Arial"/>
          <w:szCs w:val="22"/>
        </w:rPr>
        <w:t xml:space="preserve"> est le moment auquel on atteint le seuil de rentabilité. L’entreprise commence à réaliser des bénéfices quand elle dépasse ce point.</w:t>
      </w:r>
    </w:p>
    <w:p w:rsidR="00D46C36" w:rsidRPr="006C7102" w:rsidRDefault="00D46C36" w:rsidP="00D46C36">
      <w:pPr>
        <w:pStyle w:val="NormalWeb"/>
        <w:rPr>
          <w:rFonts w:cs="Arial"/>
          <w:szCs w:val="22"/>
        </w:rPr>
      </w:pPr>
      <w:r w:rsidRPr="006C7102">
        <w:rPr>
          <w:rFonts w:cs="Arial"/>
          <w:szCs w:val="22"/>
        </w:rPr>
        <w:t xml:space="preserve">Le calcul du seuil de rentabilité ou point mort diffère selon : </w:t>
      </w:r>
    </w:p>
    <w:p w:rsidR="00D46C36" w:rsidRPr="006C7102" w:rsidRDefault="00D46C36" w:rsidP="00D46C36">
      <w:pPr>
        <w:numPr>
          <w:ilvl w:val="0"/>
          <w:numId w:val="1"/>
        </w:numPr>
        <w:spacing w:before="100" w:beforeAutospacing="1" w:after="100" w:afterAutospacing="1"/>
        <w:rPr>
          <w:rFonts w:cs="Arial"/>
          <w:szCs w:val="22"/>
        </w:rPr>
      </w:pPr>
      <w:r w:rsidRPr="006C7102">
        <w:rPr>
          <w:rStyle w:val="lev"/>
          <w:rFonts w:eastAsiaTheme="majorEastAsia" w:cs="Arial"/>
          <w:szCs w:val="22"/>
        </w:rPr>
        <w:t>L’activité de l’entreprise</w:t>
      </w:r>
      <w:r w:rsidRPr="006C7102">
        <w:rPr>
          <w:rFonts w:cs="Arial"/>
          <w:szCs w:val="22"/>
        </w:rPr>
        <w:t xml:space="preserve"> : par exemple pour les entreprises commerciales le calcul se fait beaucoup plus simplement que dans les entreprises industrielles.</w:t>
      </w:r>
    </w:p>
    <w:p w:rsidR="00D46C36" w:rsidRPr="006C7102" w:rsidRDefault="00D46C36" w:rsidP="00D46C36">
      <w:pPr>
        <w:numPr>
          <w:ilvl w:val="0"/>
          <w:numId w:val="1"/>
        </w:numPr>
        <w:spacing w:before="100" w:beforeAutospacing="1" w:after="100" w:afterAutospacing="1"/>
        <w:rPr>
          <w:rFonts w:cs="Arial"/>
          <w:szCs w:val="22"/>
        </w:rPr>
      </w:pPr>
      <w:r w:rsidRPr="006C7102">
        <w:rPr>
          <w:rStyle w:val="lev"/>
          <w:rFonts w:eastAsiaTheme="majorEastAsia" w:cs="Arial"/>
          <w:szCs w:val="22"/>
        </w:rPr>
        <w:t>Le niveau de précision demandé</w:t>
      </w:r>
      <w:r w:rsidRPr="006C7102">
        <w:rPr>
          <w:rFonts w:cs="Arial"/>
          <w:szCs w:val="22"/>
        </w:rPr>
        <w:t xml:space="preserve"> : un homme de terrain calculera son point mort différemment d'un administratif.</w:t>
      </w:r>
    </w:p>
    <w:p w:rsidR="00D46C36" w:rsidRDefault="00D46C36" w:rsidP="00D46C36">
      <w:pPr>
        <w:pStyle w:val="NormalWeb"/>
        <w:rPr>
          <w:rFonts w:cs="Arial"/>
          <w:szCs w:val="22"/>
        </w:rPr>
      </w:pPr>
      <w:r w:rsidRPr="006C7102">
        <w:rPr>
          <w:rStyle w:val="lev"/>
          <w:rFonts w:eastAsiaTheme="majorEastAsia" w:cs="Arial"/>
          <w:szCs w:val="22"/>
        </w:rPr>
        <w:t>L’unité demandée</w:t>
      </w:r>
      <w:r w:rsidRPr="006C7102">
        <w:rPr>
          <w:rFonts w:cs="Arial"/>
          <w:szCs w:val="22"/>
        </w:rPr>
        <w:t xml:space="preserve"> : le seuil de rentabilité peut être calculé en unité monétaire, en quantités produites ou en nombre de jours de chiffre d'affaires. Le point mort quant à lui, est exprimé en unité de temps.</w:t>
      </w:r>
    </w:p>
    <w:p w:rsidR="00593FC3" w:rsidRDefault="00F5473E" w:rsidP="00593FC3">
      <w:pPr>
        <w:pStyle w:val="NormalWeb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>
            <wp:extent cx="4115374" cy="3286584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94796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FC3" w:rsidRDefault="00593FC3" w:rsidP="00593FC3">
      <w:pPr>
        <w:pStyle w:val="NormalWeb"/>
        <w:jc w:val="center"/>
        <w:rPr>
          <w:rFonts w:cs="Arial"/>
          <w:szCs w:val="22"/>
        </w:rPr>
      </w:pPr>
    </w:p>
    <w:p w:rsidR="00593FC3" w:rsidRPr="006C7102" w:rsidRDefault="00593FC3" w:rsidP="00D46C36">
      <w:pPr>
        <w:pStyle w:val="NormalWeb"/>
        <w:rPr>
          <w:rFonts w:cs="Arial"/>
          <w:szCs w:val="22"/>
        </w:rPr>
      </w:pPr>
    </w:p>
    <w:p w:rsidR="00D46C36" w:rsidRPr="00F5473E" w:rsidRDefault="00D46C36" w:rsidP="00D46C36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/>
          <w:sz w:val="28"/>
          <w:szCs w:val="28"/>
        </w:rPr>
      </w:pPr>
      <w:r w:rsidRPr="00F5473E">
        <w:rPr>
          <w:rFonts w:eastAsiaTheme="majorEastAsia" w:cs="Arial"/>
          <w:b/>
          <w:sz w:val="28"/>
          <w:szCs w:val="28"/>
        </w:rPr>
        <w:t>Travail à faire</w:t>
      </w:r>
    </w:p>
    <w:p w:rsidR="00D46C36" w:rsidRPr="00F5473E" w:rsidRDefault="00D46C36" w:rsidP="00D46C36">
      <w:pPr>
        <w:pStyle w:val="Paragraphedeliste"/>
        <w:numPr>
          <w:ilvl w:val="0"/>
          <w:numId w:val="3"/>
        </w:num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/>
          <w:sz w:val="28"/>
          <w:szCs w:val="28"/>
        </w:rPr>
      </w:pPr>
      <w:r w:rsidRPr="00F5473E">
        <w:rPr>
          <w:rFonts w:eastAsiaTheme="majorEastAsia" w:cs="Arial"/>
          <w:b/>
          <w:sz w:val="28"/>
          <w:szCs w:val="28"/>
        </w:rPr>
        <w:t>Quel est l’intérêt de calculer le seuil de rentabilité pour une entreprise ?</w:t>
      </w:r>
    </w:p>
    <w:p w:rsidR="006D0082" w:rsidRPr="00F5473E" w:rsidRDefault="006D0082" w:rsidP="006D0082">
      <w:pPr>
        <w:tabs>
          <w:tab w:val="left" w:pos="6508"/>
          <w:tab w:val="left" w:pos="7545"/>
          <w:tab w:val="left" w:pos="8609"/>
        </w:tabs>
        <w:spacing w:before="120"/>
        <w:jc w:val="both"/>
        <w:rPr>
          <w:rFonts w:eastAsiaTheme="majorEastAsia" w:cs="Arial"/>
          <w:b/>
          <w:sz w:val="28"/>
          <w:szCs w:val="28"/>
        </w:rPr>
      </w:pPr>
      <w:r w:rsidRPr="00F5473E">
        <w:rPr>
          <w:rFonts w:eastAsiaTheme="majorEastAsia" w:cs="Arial"/>
          <w:b/>
          <w:sz w:val="28"/>
          <w:szCs w:val="28"/>
          <w:highlight w:val="yellow"/>
        </w:rPr>
        <w:t>Le seuil de rentabilité permet d’identifier le chiffre d’affaires minimum à réaliser pour commencer à dégager des bénéfices. Au-dessous l’entreprise sera en perte</w:t>
      </w:r>
    </w:p>
    <w:p w:rsidR="006D0082" w:rsidRPr="00F5473E" w:rsidRDefault="006D0082" w:rsidP="005D2E29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/>
          <w:sz w:val="28"/>
          <w:szCs w:val="28"/>
          <w:highlight w:val="yellow"/>
        </w:rPr>
      </w:pPr>
      <w:r w:rsidRPr="00F5473E">
        <w:rPr>
          <w:rFonts w:eastAsiaTheme="majorEastAsia" w:cs="Arial"/>
          <w:b/>
          <w:sz w:val="28"/>
          <w:szCs w:val="28"/>
          <w:highlight w:val="yellow"/>
        </w:rPr>
        <w:t>C’est un indicateur capital qui permet de savoir si l’entreprise peut se lancer dans un projet ou y renoncer.</w:t>
      </w:r>
    </w:p>
    <w:p w:rsidR="006D0082" w:rsidRPr="00F5473E" w:rsidRDefault="006D0082" w:rsidP="005D2E29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/>
          <w:sz w:val="28"/>
          <w:szCs w:val="28"/>
        </w:rPr>
      </w:pPr>
      <w:r w:rsidRPr="00F5473E">
        <w:rPr>
          <w:rFonts w:eastAsiaTheme="majorEastAsia" w:cs="Arial"/>
          <w:b/>
          <w:sz w:val="28"/>
          <w:szCs w:val="28"/>
          <w:highlight w:val="yellow"/>
        </w:rPr>
        <w:t>Bien entendu il n’est fiable que si les données utilisées pour le calculer sont également fiables et ne sont pas surévaluées ou enjolivées par excès d’optimisme…</w:t>
      </w:r>
    </w:p>
    <w:p w:rsidR="006D0082" w:rsidRPr="00F5473E" w:rsidRDefault="006D0082" w:rsidP="005D2E29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/>
          <w:sz w:val="28"/>
          <w:szCs w:val="28"/>
        </w:rPr>
      </w:pPr>
    </w:p>
    <w:p w:rsidR="006D0082" w:rsidRPr="00F5473E" w:rsidRDefault="006D0082" w:rsidP="005D2E29">
      <w:p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/>
          <w:sz w:val="28"/>
          <w:szCs w:val="28"/>
        </w:rPr>
      </w:pPr>
    </w:p>
    <w:p w:rsidR="00D46C36" w:rsidRPr="00F5473E" w:rsidRDefault="00F5473E" w:rsidP="00D46C36">
      <w:pPr>
        <w:pStyle w:val="Paragraphedeliste"/>
        <w:numPr>
          <w:ilvl w:val="0"/>
          <w:numId w:val="3"/>
        </w:numPr>
        <w:tabs>
          <w:tab w:val="left" w:pos="6508"/>
          <w:tab w:val="left" w:pos="7545"/>
          <w:tab w:val="left" w:pos="8609"/>
        </w:tabs>
        <w:spacing w:before="120"/>
        <w:rPr>
          <w:rFonts w:eastAsiaTheme="majorEastAsia" w:cs="Arial"/>
          <w:b/>
          <w:sz w:val="28"/>
          <w:szCs w:val="28"/>
        </w:rPr>
      </w:pPr>
      <w:r>
        <w:rPr>
          <w:rFonts w:eastAsiaTheme="majorEastAsia" w:cs="Arial"/>
          <w:b/>
          <w:sz w:val="28"/>
          <w:szCs w:val="28"/>
        </w:rPr>
        <w:t>Quelle différence</w:t>
      </w:r>
      <w:r w:rsidR="00D46C36" w:rsidRPr="00F5473E">
        <w:rPr>
          <w:rFonts w:eastAsiaTheme="majorEastAsia" w:cs="Arial"/>
          <w:b/>
          <w:sz w:val="28"/>
          <w:szCs w:val="28"/>
        </w:rPr>
        <w:t xml:space="preserve"> faites-vous entre le seuil de rentabilité et le point mort ?</w:t>
      </w:r>
    </w:p>
    <w:p w:rsidR="006D0082" w:rsidRDefault="008830C6" w:rsidP="006D0082">
      <w:pPr>
        <w:pStyle w:val="NormalWeb"/>
        <w:numPr>
          <w:ilvl w:val="0"/>
          <w:numId w:val="2"/>
        </w:numPr>
        <w:rPr>
          <w:rFonts w:cs="Arial"/>
          <w:b/>
          <w:sz w:val="28"/>
          <w:szCs w:val="28"/>
          <w:highlight w:val="yellow"/>
        </w:rPr>
      </w:pPr>
      <w:r>
        <w:rPr>
          <w:rFonts w:cs="Arial"/>
          <w:b/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 wp14:anchorId="41F64D09" wp14:editId="20F6199A">
            <wp:simplePos x="0" y="0"/>
            <wp:positionH relativeFrom="column">
              <wp:posOffset>4834641</wp:posOffset>
            </wp:positionH>
            <wp:positionV relativeFrom="paragraph">
              <wp:posOffset>767163</wp:posOffset>
            </wp:positionV>
            <wp:extent cx="1307073" cy="1871440"/>
            <wp:effectExtent l="0" t="0" r="762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mpagne-Bottle-714293.166160933_std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073" cy="187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082" w:rsidRPr="00F5473E">
        <w:rPr>
          <w:rStyle w:val="lev"/>
          <w:rFonts w:eastAsiaTheme="majorEastAsia" w:cs="Arial"/>
          <w:sz w:val="28"/>
          <w:szCs w:val="28"/>
          <w:highlight w:val="yellow"/>
        </w:rPr>
        <w:t>Le seuil de rentabilité</w:t>
      </w:r>
      <w:r w:rsidR="006D0082" w:rsidRPr="00F5473E">
        <w:rPr>
          <w:rFonts w:cs="Arial"/>
          <w:b/>
          <w:sz w:val="28"/>
          <w:szCs w:val="28"/>
          <w:highlight w:val="yellow"/>
        </w:rPr>
        <w:t xml:space="preserve"> est un chiffre d’affaires (montant des ventes) à partir duquel l’entreprise commence à être rentable.</w:t>
      </w:r>
    </w:p>
    <w:p w:rsidR="008830C6" w:rsidRPr="00F5473E" w:rsidRDefault="008830C6" w:rsidP="008830C6">
      <w:pPr>
        <w:pStyle w:val="NormalWeb"/>
        <w:rPr>
          <w:rFonts w:cs="Arial"/>
          <w:b/>
          <w:sz w:val="28"/>
          <w:szCs w:val="28"/>
          <w:highlight w:val="yellow"/>
        </w:rPr>
      </w:pPr>
    </w:p>
    <w:p w:rsidR="006D0082" w:rsidRDefault="006D0082" w:rsidP="006D0082">
      <w:pPr>
        <w:pStyle w:val="NormalWeb"/>
        <w:numPr>
          <w:ilvl w:val="0"/>
          <w:numId w:val="2"/>
        </w:numPr>
        <w:rPr>
          <w:rFonts w:cs="Arial"/>
          <w:b/>
          <w:sz w:val="28"/>
          <w:szCs w:val="22"/>
          <w:highlight w:val="yellow"/>
        </w:rPr>
      </w:pPr>
      <w:r w:rsidRPr="006D0082">
        <w:rPr>
          <w:rStyle w:val="lev"/>
          <w:rFonts w:eastAsiaTheme="majorEastAsia" w:cs="Arial"/>
          <w:sz w:val="28"/>
          <w:szCs w:val="22"/>
          <w:highlight w:val="yellow"/>
        </w:rPr>
        <w:t>Le point mort</w:t>
      </w:r>
      <w:r>
        <w:rPr>
          <w:rFonts w:cs="Arial"/>
          <w:b/>
          <w:sz w:val="28"/>
          <w:szCs w:val="22"/>
          <w:highlight w:val="yellow"/>
        </w:rPr>
        <w:t xml:space="preserve"> est la date à laquelle le seuil de rentabilité est atteint.</w:t>
      </w:r>
      <w:r w:rsidR="00F5473E">
        <w:rPr>
          <w:rFonts w:cs="Arial"/>
          <w:b/>
          <w:sz w:val="28"/>
          <w:szCs w:val="22"/>
          <w:highlight w:val="yellow"/>
        </w:rPr>
        <w:t xml:space="preserve"> À </w:t>
      </w:r>
      <w:r>
        <w:rPr>
          <w:rFonts w:cs="Arial"/>
          <w:b/>
          <w:sz w:val="28"/>
          <w:szCs w:val="22"/>
          <w:highlight w:val="yellow"/>
        </w:rPr>
        <w:t xml:space="preserve">partir de celle-ci l’entreprise </w:t>
      </w:r>
      <w:r w:rsidRPr="006D0082">
        <w:rPr>
          <w:rFonts w:cs="Arial"/>
          <w:b/>
          <w:sz w:val="28"/>
          <w:szCs w:val="22"/>
          <w:highlight w:val="yellow"/>
        </w:rPr>
        <w:t xml:space="preserve">commence à réaliser des bénéfices </w:t>
      </w:r>
      <w:r>
        <w:rPr>
          <w:rFonts w:cs="Arial"/>
          <w:b/>
          <w:sz w:val="28"/>
          <w:szCs w:val="22"/>
          <w:highlight w:val="yellow"/>
        </w:rPr>
        <w:t>et peut prendre plus de risques commerciaux</w:t>
      </w:r>
      <w:r w:rsidRPr="006D0082">
        <w:rPr>
          <w:rFonts w:cs="Arial"/>
          <w:b/>
          <w:sz w:val="28"/>
          <w:szCs w:val="22"/>
          <w:highlight w:val="yellow"/>
        </w:rPr>
        <w:t>.</w:t>
      </w:r>
    </w:p>
    <w:p w:rsidR="008830C6" w:rsidRPr="006D0082" w:rsidRDefault="008830C6" w:rsidP="008830C6">
      <w:pPr>
        <w:pStyle w:val="NormalWeb"/>
        <w:rPr>
          <w:rFonts w:cs="Arial"/>
          <w:b/>
          <w:sz w:val="28"/>
          <w:szCs w:val="22"/>
          <w:highlight w:val="yellow"/>
        </w:rPr>
      </w:pPr>
    </w:p>
    <w:p w:rsidR="005D4238" w:rsidRPr="005D2E29" w:rsidRDefault="005D4238">
      <w:pPr>
        <w:rPr>
          <w:sz w:val="24"/>
        </w:rPr>
      </w:pPr>
      <w:bookmarkStart w:id="0" w:name="_GoBack"/>
      <w:bookmarkEnd w:id="0"/>
    </w:p>
    <w:sectPr w:rsidR="005D4238" w:rsidRPr="005D2E29" w:rsidSect="008830C6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8C4"/>
    <w:multiLevelType w:val="multilevel"/>
    <w:tmpl w:val="CBE8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25A32"/>
    <w:multiLevelType w:val="hybridMultilevel"/>
    <w:tmpl w:val="D66A51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22ECF"/>
    <w:multiLevelType w:val="hybridMultilevel"/>
    <w:tmpl w:val="E294C6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36"/>
    <w:rsid w:val="00593FC3"/>
    <w:rsid w:val="005D2E29"/>
    <w:rsid w:val="005D4238"/>
    <w:rsid w:val="006D0082"/>
    <w:rsid w:val="008830C6"/>
    <w:rsid w:val="00D46C36"/>
    <w:rsid w:val="00F5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D5E"/>
  <w15:chartTrackingRefBased/>
  <w15:docId w15:val="{555DFB07-518F-4DFD-A66B-0FA42F7D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46C36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6C3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 w:after="120"/>
      <w:jc w:val="both"/>
      <w:outlineLvl w:val="0"/>
    </w:pPr>
    <w:rPr>
      <w:rFonts w:cs="Arial"/>
      <w:b/>
      <w:color w:val="000000"/>
      <w:sz w:val="32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6C36"/>
    <w:pPr>
      <w:keepNext/>
      <w:keepLines/>
      <w:spacing w:after="12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6C36"/>
    <w:rPr>
      <w:rFonts w:ascii="Arial" w:eastAsia="Times New Roman" w:hAnsi="Arial" w:cs="Arial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46C36"/>
    <w:rPr>
      <w:rFonts w:ascii="Arial" w:eastAsiaTheme="majorEastAsia" w:hAnsi="Arial" w:cstheme="majorBidi"/>
      <w:b/>
      <w:bCs/>
      <w:color w:val="000000" w:themeColor="text1"/>
      <w:sz w:val="28"/>
      <w:szCs w:val="26"/>
      <w:lang w:eastAsia="fr-FR"/>
    </w:rPr>
  </w:style>
  <w:style w:type="paragraph" w:styleId="NormalWeb">
    <w:name w:val="Normal (Web)"/>
    <w:basedOn w:val="Normal"/>
    <w:uiPriority w:val="99"/>
    <w:rsid w:val="00D46C36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6C36"/>
    <w:rPr>
      <w:b/>
      <w:bCs/>
    </w:rPr>
  </w:style>
  <w:style w:type="table" w:styleId="Grilledutableau">
    <w:name w:val="Table Grid"/>
    <w:basedOn w:val="TableauNormal"/>
    <w:uiPriority w:val="59"/>
    <w:rsid w:val="00D46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2015-09-27T19:06:00Z</dcterms:created>
  <dcterms:modified xsi:type="dcterms:W3CDTF">2016-03-14T09:29:00Z</dcterms:modified>
</cp:coreProperties>
</file>